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07" w:rsidRPr="00940444" w:rsidRDefault="00DE5707" w:rsidP="00DE5707">
      <w:pPr>
        <w:pStyle w:val="normal0"/>
        <w:tabs>
          <w:tab w:val="left" w:pos="5640"/>
        </w:tabs>
        <w:spacing w:line="240" w:lineRule="auto"/>
        <w:ind w:firstLine="720"/>
        <w:jc w:val="center"/>
        <w:rPr>
          <w:b/>
          <w:color w:val="auto"/>
        </w:rPr>
      </w:pPr>
      <w:r w:rsidRPr="00940444">
        <w:rPr>
          <w:b/>
          <w:color w:val="auto"/>
        </w:rPr>
        <w:t>INSTRUTIVO DE CÁLCULO</w:t>
      </w:r>
    </w:p>
    <w:p w:rsidR="00DE5707" w:rsidRPr="00BD6112" w:rsidRDefault="00DE5707" w:rsidP="00DE5707">
      <w:pPr>
        <w:pStyle w:val="normal0"/>
        <w:tabs>
          <w:tab w:val="left" w:pos="5640"/>
        </w:tabs>
        <w:spacing w:line="240" w:lineRule="auto"/>
        <w:ind w:firstLine="720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ind w:firstLine="720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>Cálculo geral do índice de desempenho do candidato (ID) para classificação dos canditados à renovação da bolsa de estudo:</w:t>
      </w:r>
    </w:p>
    <w:p w:rsidR="00DE5707" w:rsidRPr="00BD6112" w:rsidRDefault="00DE5707" w:rsidP="00DE5707">
      <w:pPr>
        <w:pStyle w:val="normal0"/>
        <w:spacing w:line="240" w:lineRule="auto"/>
        <w:ind w:firstLine="720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ind w:firstLine="680"/>
        <w:jc w:val="both"/>
        <w:rPr>
          <w:color w:val="auto"/>
        </w:rPr>
      </w:pPr>
      <w:r w:rsidRPr="00BD6112">
        <w:rPr>
          <w:color w:val="auto"/>
        </w:rPr>
        <w:t>ID = RA + PC + AI + F/100</w:t>
      </w:r>
    </w:p>
    <w:p w:rsidR="00DE5707" w:rsidRPr="00BD6112" w:rsidRDefault="00DE5707" w:rsidP="00DE5707">
      <w:pPr>
        <w:pStyle w:val="normal0"/>
        <w:spacing w:line="240" w:lineRule="auto"/>
        <w:ind w:firstLine="680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ind w:firstLine="680"/>
        <w:jc w:val="both"/>
        <w:rPr>
          <w:color w:val="auto"/>
        </w:rPr>
      </w:pPr>
      <w:r w:rsidRPr="00BD6112">
        <w:rPr>
          <w:color w:val="auto"/>
        </w:rPr>
        <w:t>1. Rendimento acadêmico (RA)</w:t>
      </w:r>
    </w:p>
    <w:p w:rsidR="00DE5707" w:rsidRPr="00BD6112" w:rsidRDefault="00DE5707" w:rsidP="00DE5707">
      <w:pPr>
        <w:pStyle w:val="normal0"/>
        <w:spacing w:line="240" w:lineRule="auto"/>
        <w:ind w:firstLine="680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ind w:firstLine="680"/>
        <w:jc w:val="both"/>
        <w:rPr>
          <w:color w:val="auto"/>
        </w:rPr>
      </w:pPr>
      <w:r w:rsidRPr="00BD6112">
        <w:rPr>
          <w:color w:val="auto"/>
        </w:rPr>
        <w:t>1.1 Para as disciplinas cursadas em nível de pós-graduação, as notas obtidas pelo candidato serão transformadas em conceitos, segundo a seguinte tabela de conversão: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 xml:space="preserve">Notas         </w:t>
      </w:r>
      <w:r w:rsidRPr="00BD6112">
        <w:rPr>
          <w:color w:val="auto"/>
        </w:rPr>
        <w:tab/>
        <w:t xml:space="preserve"> Conceito equivalente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 xml:space="preserve">9,0 a 10,0              </w:t>
      </w:r>
      <w:r w:rsidRPr="00BD6112">
        <w:rPr>
          <w:color w:val="auto"/>
        </w:rPr>
        <w:tab/>
        <w:t xml:space="preserve"> Conceito A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 xml:space="preserve">7,5 a 8,9                </w:t>
      </w:r>
      <w:r w:rsidRPr="00BD6112">
        <w:rPr>
          <w:color w:val="auto"/>
        </w:rPr>
        <w:tab/>
        <w:t xml:space="preserve"> Conceito B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 xml:space="preserve">6,0 a 7,4                </w:t>
      </w:r>
      <w:r w:rsidRPr="00BD6112">
        <w:rPr>
          <w:color w:val="auto"/>
        </w:rPr>
        <w:tab/>
        <w:t xml:space="preserve"> Conceito C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Cálculo do Rendimento Acadêmico: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 xml:space="preserve">RA = (NA x </w:t>
      </w:r>
      <w:proofErr w:type="gramStart"/>
      <w:r w:rsidRPr="00BD6112">
        <w:rPr>
          <w:color w:val="auto"/>
        </w:rPr>
        <w:t>3</w:t>
      </w:r>
      <w:proofErr w:type="gramEnd"/>
      <w:r w:rsidRPr="00BD6112">
        <w:rPr>
          <w:color w:val="auto"/>
        </w:rPr>
        <w:t>) + (NB x 2) + (NC x 1) / ND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RA = Coeficiente de rendimento escolar médio, onde: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NA = Número total de disciplinas cursadas, obtido conceito A;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NB = Número total de disciplinas cursadas, obtido conceito B;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NC = Número total de disciplinas cursadas, obtido conceito C;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ND = número de disciplinas cursadas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>2. Produção científica (PC)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O cálculo da produção científica se baseará na somatória dos itens 2.1 a 2.7, a ser computado desde a data de ingresso no PGO, conforme pontuação abaixo: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 xml:space="preserve">2.1. Artigos aceitos para publicação em periódicos </w:t>
      </w:r>
      <w:proofErr w:type="spellStart"/>
      <w:r w:rsidRPr="00BD6112">
        <w:rPr>
          <w:color w:val="auto"/>
        </w:rPr>
        <w:t>Qualis</w:t>
      </w:r>
      <w:proofErr w:type="spellEnd"/>
      <w:r w:rsidRPr="00BD6112">
        <w:rPr>
          <w:color w:val="auto"/>
        </w:rPr>
        <w:t xml:space="preserve"> - Odontologia</w:t>
      </w:r>
    </w:p>
    <w:tbl>
      <w:tblPr>
        <w:tblW w:w="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285"/>
        <w:gridCol w:w="1310"/>
        <w:gridCol w:w="1250"/>
        <w:gridCol w:w="1205"/>
      </w:tblGrid>
      <w:tr w:rsidR="00DE5707" w:rsidRPr="00BD6112" w:rsidTr="00A6079D">
        <w:trPr>
          <w:jc w:val="center"/>
        </w:trPr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Categoria</w:t>
            </w:r>
          </w:p>
        </w:tc>
        <w:tc>
          <w:tcPr>
            <w:tcW w:w="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A1 A2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B1 B2 B3</w:t>
            </w:r>
          </w:p>
        </w:tc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B4</w:t>
            </w:r>
            <w:proofErr w:type="gramStart"/>
            <w:r w:rsidRPr="00BD6112">
              <w:rPr>
                <w:color w:val="auto"/>
              </w:rPr>
              <w:t xml:space="preserve">  </w:t>
            </w:r>
            <w:proofErr w:type="gramEnd"/>
            <w:r w:rsidRPr="00BD6112">
              <w:rPr>
                <w:color w:val="auto"/>
              </w:rPr>
              <w:t>B5 C</w:t>
            </w:r>
          </w:p>
        </w:tc>
      </w:tr>
      <w:tr w:rsidR="00DE5707" w:rsidRPr="00BD6112" w:rsidTr="00A6079D">
        <w:trPr>
          <w:jc w:val="center"/>
        </w:trPr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autor</w:t>
            </w:r>
          </w:p>
        </w:tc>
        <w:tc>
          <w:tcPr>
            <w:tcW w:w="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20 18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12 10</w:t>
            </w:r>
            <w:proofErr w:type="gramStart"/>
            <w:r w:rsidRPr="00BD6112">
              <w:rPr>
                <w:color w:val="auto"/>
              </w:rPr>
              <w:t xml:space="preserve">  </w:t>
            </w:r>
            <w:proofErr w:type="gramEnd"/>
            <w:r w:rsidRPr="00BD6112">
              <w:rPr>
                <w:color w:val="auto"/>
              </w:rPr>
              <w:t>05</w:t>
            </w:r>
          </w:p>
        </w:tc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 xml:space="preserve">03 </w:t>
            </w:r>
            <w:proofErr w:type="spellStart"/>
            <w:r w:rsidRPr="00BD6112">
              <w:rPr>
                <w:color w:val="auto"/>
              </w:rPr>
              <w:t>03</w:t>
            </w:r>
            <w:proofErr w:type="spellEnd"/>
            <w:proofErr w:type="gramEnd"/>
            <w:r w:rsidRPr="00BD6112">
              <w:rPr>
                <w:color w:val="auto"/>
              </w:rPr>
              <w:t xml:space="preserve"> 0</w:t>
            </w:r>
          </w:p>
        </w:tc>
      </w:tr>
      <w:tr w:rsidR="00DE5707" w:rsidRPr="00BD6112" w:rsidTr="00A6079D">
        <w:trPr>
          <w:jc w:val="center"/>
        </w:trPr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outros</w:t>
            </w:r>
          </w:p>
        </w:tc>
        <w:tc>
          <w:tcPr>
            <w:tcW w:w="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15 12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08 06 04</w:t>
            </w:r>
          </w:p>
        </w:tc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 xml:space="preserve">02 </w:t>
            </w:r>
            <w:proofErr w:type="spellStart"/>
            <w:r w:rsidRPr="00BD6112">
              <w:rPr>
                <w:color w:val="auto"/>
              </w:rPr>
              <w:t>02</w:t>
            </w:r>
            <w:proofErr w:type="spellEnd"/>
            <w:proofErr w:type="gramEnd"/>
            <w:r w:rsidRPr="00BD6112">
              <w:rPr>
                <w:color w:val="auto"/>
              </w:rPr>
              <w:t xml:space="preserve"> 0</w:t>
            </w:r>
          </w:p>
        </w:tc>
      </w:tr>
    </w:tbl>
    <w:p w:rsidR="00DE5707" w:rsidRPr="00BD6112" w:rsidRDefault="00DE5707" w:rsidP="00DE5707">
      <w:pPr>
        <w:pStyle w:val="normal0"/>
        <w:spacing w:line="240" w:lineRule="auto"/>
        <w:rPr>
          <w:color w:val="auto"/>
          <w:sz w:val="12"/>
          <w:szCs w:val="12"/>
        </w:rPr>
      </w:pP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 xml:space="preserve">2.2. Artigos publicados em periódicos </w:t>
      </w:r>
      <w:proofErr w:type="spellStart"/>
      <w:r w:rsidRPr="00BD6112">
        <w:rPr>
          <w:color w:val="auto"/>
        </w:rPr>
        <w:t>Qualis</w:t>
      </w:r>
      <w:proofErr w:type="spellEnd"/>
      <w:r w:rsidRPr="00BD6112">
        <w:rPr>
          <w:color w:val="auto"/>
        </w:rPr>
        <w:t xml:space="preserve"> - Odontologia</w:t>
      </w:r>
    </w:p>
    <w:tbl>
      <w:tblPr>
        <w:tblW w:w="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285"/>
        <w:gridCol w:w="1310"/>
        <w:gridCol w:w="1250"/>
        <w:gridCol w:w="1205"/>
      </w:tblGrid>
      <w:tr w:rsidR="00DE5707" w:rsidRPr="00BD6112" w:rsidTr="00A6079D">
        <w:trPr>
          <w:jc w:val="center"/>
        </w:trPr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Categoria</w:t>
            </w:r>
          </w:p>
        </w:tc>
        <w:tc>
          <w:tcPr>
            <w:tcW w:w="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A1 A2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B1 B2 B3</w:t>
            </w:r>
          </w:p>
        </w:tc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B4</w:t>
            </w:r>
            <w:proofErr w:type="gramStart"/>
            <w:r w:rsidRPr="00BD6112">
              <w:rPr>
                <w:color w:val="auto"/>
              </w:rPr>
              <w:t xml:space="preserve">  </w:t>
            </w:r>
            <w:proofErr w:type="gramEnd"/>
            <w:r w:rsidRPr="00BD6112">
              <w:rPr>
                <w:color w:val="auto"/>
              </w:rPr>
              <w:t>B5 C</w:t>
            </w:r>
          </w:p>
        </w:tc>
      </w:tr>
      <w:tr w:rsidR="00DE5707" w:rsidRPr="00BD6112" w:rsidTr="00A6079D">
        <w:trPr>
          <w:jc w:val="center"/>
        </w:trPr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autor</w:t>
            </w:r>
          </w:p>
        </w:tc>
        <w:tc>
          <w:tcPr>
            <w:tcW w:w="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30 25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20 15 10</w:t>
            </w:r>
          </w:p>
        </w:tc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 xml:space="preserve">05 </w:t>
            </w:r>
            <w:proofErr w:type="spellStart"/>
            <w:r w:rsidRPr="00BD6112">
              <w:rPr>
                <w:color w:val="auto"/>
              </w:rPr>
              <w:t>05</w:t>
            </w:r>
            <w:proofErr w:type="spellEnd"/>
            <w:proofErr w:type="gramEnd"/>
            <w:r w:rsidRPr="00BD6112">
              <w:rPr>
                <w:color w:val="auto"/>
              </w:rPr>
              <w:t xml:space="preserve"> 0</w:t>
            </w:r>
          </w:p>
        </w:tc>
      </w:tr>
      <w:tr w:rsidR="00DE5707" w:rsidRPr="00BD6112" w:rsidTr="00A6079D">
        <w:trPr>
          <w:jc w:val="center"/>
        </w:trPr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outros</w:t>
            </w:r>
          </w:p>
        </w:tc>
        <w:tc>
          <w:tcPr>
            <w:tcW w:w="1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20 18</w:t>
            </w:r>
          </w:p>
        </w:tc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12 10 05</w:t>
            </w:r>
          </w:p>
        </w:tc>
        <w:tc>
          <w:tcPr>
            <w:tcW w:w="1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 xml:space="preserve">03 </w:t>
            </w:r>
            <w:proofErr w:type="spellStart"/>
            <w:r w:rsidRPr="00BD6112">
              <w:rPr>
                <w:color w:val="auto"/>
              </w:rPr>
              <w:t>03</w:t>
            </w:r>
            <w:proofErr w:type="spellEnd"/>
            <w:proofErr w:type="gramEnd"/>
            <w:r w:rsidRPr="00BD6112">
              <w:rPr>
                <w:color w:val="auto"/>
              </w:rPr>
              <w:t xml:space="preserve"> 0</w:t>
            </w:r>
          </w:p>
        </w:tc>
      </w:tr>
    </w:tbl>
    <w:p w:rsidR="00DE5707" w:rsidRDefault="00DE5707" w:rsidP="00DE5707">
      <w:pPr>
        <w:pStyle w:val="normal0"/>
        <w:spacing w:line="240" w:lineRule="auto"/>
        <w:jc w:val="right"/>
      </w:pPr>
    </w:p>
    <w:p w:rsidR="00DE5707" w:rsidRDefault="00DE5707" w:rsidP="00DE5707">
      <w:pPr>
        <w:pStyle w:val="normal0"/>
        <w:spacing w:line="240" w:lineRule="auto"/>
        <w:jc w:val="right"/>
      </w:pPr>
    </w:p>
    <w:p w:rsidR="00DE5707" w:rsidRDefault="00DE5707" w:rsidP="00DE5707">
      <w:pPr>
        <w:pStyle w:val="normal0"/>
        <w:spacing w:line="240" w:lineRule="auto"/>
        <w:jc w:val="right"/>
      </w:pPr>
    </w:p>
    <w:p w:rsidR="00DE5707" w:rsidRDefault="00DE5707" w:rsidP="00DE5707">
      <w:pPr>
        <w:pStyle w:val="normal0"/>
        <w:spacing w:line="240" w:lineRule="auto"/>
        <w:jc w:val="right"/>
        <w:rPr>
          <w:color w:val="auto"/>
        </w:rPr>
      </w:pPr>
      <w:r>
        <w:t>.../</w:t>
      </w:r>
    </w:p>
    <w:p w:rsidR="00DE5707" w:rsidRDefault="00DE5707" w:rsidP="00DE5707">
      <w:pPr>
        <w:pStyle w:val="normal0"/>
        <w:spacing w:line="240" w:lineRule="auto"/>
        <w:rPr>
          <w:b/>
          <w:color w:val="auto"/>
        </w:rPr>
      </w:pPr>
      <w:r>
        <w:t>.../Resolução nº 024/2016-PGO                                                                                     fls. 6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  <w:sz w:val="12"/>
          <w:szCs w:val="12"/>
        </w:rPr>
      </w:pP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  <w:sz w:val="12"/>
          <w:szCs w:val="12"/>
        </w:rPr>
      </w:pP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lastRenderedPageBreak/>
        <w:t xml:space="preserve">2.3. Livros – Área de Odontologia e afins 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>Nacional / Internacional</w:t>
      </w:r>
    </w:p>
    <w:tbl>
      <w:tblPr>
        <w:tblW w:w="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510"/>
        <w:gridCol w:w="1325"/>
        <w:gridCol w:w="800"/>
      </w:tblGrid>
      <w:tr w:rsidR="00DE5707" w:rsidRPr="00BD6112" w:rsidTr="00A6079D">
        <w:trPr>
          <w:jc w:val="center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autor</w:t>
            </w:r>
          </w:p>
        </w:tc>
        <w:tc>
          <w:tcPr>
            <w:tcW w:w="1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10</w:t>
            </w:r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20</w:t>
            </w:r>
          </w:p>
        </w:tc>
      </w:tr>
      <w:tr w:rsidR="00DE5707" w:rsidRPr="00BD6112" w:rsidTr="00A6079D">
        <w:trPr>
          <w:jc w:val="center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outros</w:t>
            </w:r>
          </w:p>
        </w:tc>
        <w:tc>
          <w:tcPr>
            <w:tcW w:w="1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right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>5</w:t>
            </w:r>
            <w:proofErr w:type="gramEnd"/>
          </w:p>
        </w:tc>
        <w:tc>
          <w:tcPr>
            <w:tcW w:w="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10</w:t>
            </w:r>
          </w:p>
        </w:tc>
      </w:tr>
    </w:tbl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11"/>
          <w:szCs w:val="11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>2.4. Capítulos de livros - Área de Odontologia e afins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>Nacional / Internacional</w:t>
      </w:r>
    </w:p>
    <w:tbl>
      <w:tblPr>
        <w:tblW w:w="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435"/>
        <w:gridCol w:w="1430"/>
        <w:gridCol w:w="890"/>
      </w:tblGrid>
      <w:tr w:rsidR="00DE5707" w:rsidRPr="00BD6112" w:rsidTr="00A6079D">
        <w:trPr>
          <w:jc w:val="center"/>
        </w:trPr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autor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>5</w:t>
            </w:r>
            <w:proofErr w:type="gramEnd"/>
          </w:p>
        </w:tc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10</w:t>
            </w:r>
          </w:p>
        </w:tc>
      </w:tr>
      <w:tr w:rsidR="00DE5707" w:rsidRPr="00BD6112" w:rsidTr="00A6079D">
        <w:trPr>
          <w:jc w:val="center"/>
        </w:trPr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outros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>3</w:t>
            </w:r>
            <w:proofErr w:type="gramEnd"/>
          </w:p>
        </w:tc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BD6112">
              <w:rPr>
                <w:color w:val="auto"/>
              </w:rPr>
              <w:t>6</w:t>
            </w:r>
            <w:proofErr w:type="gramEnd"/>
          </w:p>
        </w:tc>
      </w:tr>
    </w:tbl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>2.5. Resumos expandidos em congressos - Odontologia e afins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>Nacional / Internacional</w:t>
      </w:r>
    </w:p>
    <w:tbl>
      <w:tblPr>
        <w:tblW w:w="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435"/>
        <w:gridCol w:w="1430"/>
        <w:gridCol w:w="890"/>
      </w:tblGrid>
      <w:tr w:rsidR="00DE5707" w:rsidRPr="00BD6112" w:rsidTr="00A6079D">
        <w:trPr>
          <w:jc w:val="center"/>
        </w:trPr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autor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0,4</w:t>
            </w:r>
          </w:p>
        </w:tc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0,8</w:t>
            </w:r>
          </w:p>
        </w:tc>
      </w:tr>
      <w:tr w:rsidR="00DE5707" w:rsidRPr="00BD6112" w:rsidTr="00A6079D">
        <w:trPr>
          <w:jc w:val="center"/>
        </w:trPr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outros</w:t>
            </w:r>
          </w:p>
        </w:tc>
        <w:tc>
          <w:tcPr>
            <w:tcW w:w="1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0,2</w:t>
            </w:r>
          </w:p>
        </w:tc>
        <w:tc>
          <w:tcPr>
            <w:tcW w:w="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0,4</w:t>
            </w:r>
          </w:p>
        </w:tc>
      </w:tr>
    </w:tbl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12"/>
          <w:szCs w:val="12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>2.6. Resumos em congressos - Odontologia e afins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  <w:r w:rsidRPr="00BD6112">
        <w:rPr>
          <w:color w:val="auto"/>
        </w:rPr>
        <w:t>Nacional / Internacional</w:t>
      </w:r>
    </w:p>
    <w:tbl>
      <w:tblPr>
        <w:tblW w:w="5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690"/>
        <w:gridCol w:w="1790"/>
        <w:gridCol w:w="1025"/>
      </w:tblGrid>
      <w:tr w:rsidR="00DE5707" w:rsidRPr="00BD6112" w:rsidTr="00A6079D">
        <w:trPr>
          <w:jc w:val="center"/>
        </w:trPr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autor</w:t>
            </w:r>
          </w:p>
        </w:tc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0,10</w:t>
            </w:r>
          </w:p>
        </w:tc>
        <w:tc>
          <w:tcPr>
            <w:tcW w:w="1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0,20</w:t>
            </w:r>
          </w:p>
        </w:tc>
      </w:tr>
      <w:tr w:rsidR="00DE5707" w:rsidRPr="00BD6112" w:rsidTr="00A6079D">
        <w:trPr>
          <w:jc w:val="center"/>
        </w:trPr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outros</w:t>
            </w:r>
          </w:p>
        </w:tc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0,05</w:t>
            </w:r>
          </w:p>
        </w:tc>
        <w:tc>
          <w:tcPr>
            <w:tcW w:w="1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0,10</w:t>
            </w:r>
          </w:p>
        </w:tc>
      </w:tr>
    </w:tbl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16"/>
          <w:szCs w:val="16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>2.7 – Prêmios em eventos científicos</w:t>
      </w:r>
    </w:p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</w:rPr>
        <w:t>Local/Nacional / Internacional</w:t>
      </w:r>
    </w:p>
    <w:tbl>
      <w:tblPr>
        <w:tblW w:w="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420"/>
        <w:gridCol w:w="1340"/>
        <w:gridCol w:w="1160"/>
        <w:gridCol w:w="1010"/>
      </w:tblGrid>
      <w:tr w:rsidR="00DE5707" w:rsidRPr="00BD6112" w:rsidTr="00A6079D">
        <w:trPr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a) primeiro lugar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0,20</w:t>
            </w:r>
          </w:p>
        </w:tc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0,5</w:t>
            </w:r>
          </w:p>
        </w:tc>
        <w:tc>
          <w:tcPr>
            <w:tcW w:w="1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1,0</w:t>
            </w:r>
          </w:p>
        </w:tc>
      </w:tr>
      <w:tr w:rsidR="00DE5707" w:rsidRPr="00BD6112" w:rsidTr="00A6079D">
        <w:trPr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rPr>
                <w:color w:val="auto"/>
              </w:rPr>
            </w:pPr>
            <w:r w:rsidRPr="00BD6112">
              <w:rPr>
                <w:color w:val="auto"/>
              </w:rPr>
              <w:t>b) segundo lugar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0,15</w:t>
            </w:r>
          </w:p>
        </w:tc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0,3</w:t>
            </w:r>
          </w:p>
        </w:tc>
        <w:tc>
          <w:tcPr>
            <w:tcW w:w="1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5707" w:rsidRPr="00BD6112" w:rsidRDefault="00DE5707" w:rsidP="00A6079D">
            <w:pPr>
              <w:pStyle w:val="normal0"/>
              <w:spacing w:line="240" w:lineRule="auto"/>
              <w:jc w:val="center"/>
              <w:rPr>
                <w:color w:val="auto"/>
              </w:rPr>
            </w:pPr>
            <w:r w:rsidRPr="00BD6112">
              <w:rPr>
                <w:color w:val="auto"/>
              </w:rPr>
              <w:t>0,5</w:t>
            </w:r>
          </w:p>
        </w:tc>
      </w:tr>
    </w:tbl>
    <w:p w:rsidR="00DE5707" w:rsidRPr="00BD6112" w:rsidRDefault="00DE5707" w:rsidP="00DE5707">
      <w:pPr>
        <w:pStyle w:val="normal0"/>
        <w:spacing w:line="240" w:lineRule="auto"/>
        <w:jc w:val="center"/>
        <w:rPr>
          <w:color w:val="auto"/>
        </w:rPr>
      </w:pPr>
      <w:r w:rsidRPr="00BD6112">
        <w:rPr>
          <w:color w:val="auto"/>
          <w:sz w:val="16"/>
          <w:szCs w:val="16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rPr>
          <w:color w:val="auto"/>
        </w:rPr>
      </w:pPr>
      <w:r w:rsidRPr="00BD6112">
        <w:rPr>
          <w:color w:val="auto"/>
        </w:rPr>
        <w:t>3. Participação nas atividades internas do PGO (AI)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3.1 Presenças nas dissertações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- A participação nas dissertações contará 0,5 por dissertação.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  <w:r w:rsidRPr="00BD6112">
        <w:rPr>
          <w:color w:val="auto"/>
        </w:rPr>
        <w:t xml:space="preserve">3.2 Participação nas clínicas </w:t>
      </w:r>
      <w:proofErr w:type="gramStart"/>
      <w:r w:rsidRPr="00BD6112">
        <w:rPr>
          <w:color w:val="auto"/>
        </w:rPr>
        <w:t>do PROAS</w:t>
      </w:r>
      <w:proofErr w:type="gramEnd"/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 xml:space="preserve">- A participação em 100% das clínicas </w:t>
      </w:r>
      <w:proofErr w:type="gramStart"/>
      <w:r w:rsidRPr="00BD6112">
        <w:rPr>
          <w:color w:val="auto"/>
        </w:rPr>
        <w:t>do PROAS</w:t>
      </w:r>
      <w:proofErr w:type="gramEnd"/>
      <w:r w:rsidRPr="00BD6112">
        <w:rPr>
          <w:color w:val="auto"/>
        </w:rPr>
        <w:t xml:space="preserve"> contará 1,0.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  <w:proofErr w:type="gramStart"/>
      <w:r w:rsidRPr="00BD6112">
        <w:rPr>
          <w:color w:val="auto"/>
        </w:rPr>
        <w:t>3.3 Participação</w:t>
      </w:r>
      <w:proofErr w:type="gramEnd"/>
      <w:r w:rsidRPr="00BD6112">
        <w:rPr>
          <w:color w:val="auto"/>
        </w:rPr>
        <w:t xml:space="preserve"> nos Seminários da Clínica Ampliada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- A participação em 100% dos seminários da Clínica Ampliada contará 1,0.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  <w:sz w:val="24"/>
          <w:szCs w:val="24"/>
        </w:rPr>
        <w:t xml:space="preserve"> </w:t>
      </w:r>
      <w:proofErr w:type="gramStart"/>
      <w:r w:rsidRPr="00BD6112">
        <w:rPr>
          <w:color w:val="auto"/>
        </w:rPr>
        <w:t>3.4 Organização</w:t>
      </w:r>
      <w:proofErr w:type="gramEnd"/>
      <w:r w:rsidRPr="00BD6112">
        <w:rPr>
          <w:color w:val="auto"/>
        </w:rPr>
        <w:t xml:space="preserve"> de eventos do PGO;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 xml:space="preserve">a) coordenação </w:t>
      </w:r>
      <w:r w:rsidRPr="00BD6112">
        <w:rPr>
          <w:color w:val="auto"/>
        </w:rPr>
        <w:tab/>
        <w:t xml:space="preserve"> 1,0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b) comissão organizadora 0,5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4. Frequência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Cálculo da frequência média nas disciplinas cursadas</w:t>
      </w:r>
    </w:p>
    <w:p w:rsidR="00DE5707" w:rsidRPr="00BD6112" w:rsidRDefault="00DE5707" w:rsidP="00DE5707">
      <w:pPr>
        <w:pStyle w:val="normal0"/>
        <w:spacing w:line="240" w:lineRule="auto"/>
        <w:jc w:val="both"/>
        <w:rPr>
          <w:color w:val="auto"/>
        </w:rPr>
      </w:pPr>
      <w:r w:rsidRPr="00BD6112">
        <w:rPr>
          <w:color w:val="auto"/>
        </w:rPr>
        <w:t>F= Frequência média nas disciplinas dividida por 100</w:t>
      </w:r>
    </w:p>
    <w:p w:rsidR="006969CD" w:rsidRDefault="00DE5707"/>
    <w:sectPr w:rsidR="006969CD" w:rsidSect="0016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707"/>
    <w:rsid w:val="00164E58"/>
    <w:rsid w:val="008210C0"/>
    <w:rsid w:val="00BB6071"/>
    <w:rsid w:val="00D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E5707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2323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Dod-Pgo</dc:creator>
  <cp:lastModifiedBy>Dod-Pgo</cp:lastModifiedBy>
  <cp:revision>1</cp:revision>
  <dcterms:created xsi:type="dcterms:W3CDTF">2016-05-18T13:11:00Z</dcterms:created>
  <dcterms:modified xsi:type="dcterms:W3CDTF">2016-05-18T13:11:00Z</dcterms:modified>
</cp:coreProperties>
</file>